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A31A" w14:textId="38A21D79" w:rsidR="006251C5" w:rsidRPr="005F53A9" w:rsidRDefault="006251C5" w:rsidP="006251C5">
      <w:pPr>
        <w:rPr>
          <w:rFonts w:eastAsia="Times New Roman" w:cstheme="minorHAnsi"/>
          <w:color w:val="000000"/>
          <w:sz w:val="20"/>
          <w:szCs w:val="20"/>
        </w:rPr>
      </w:pPr>
    </w:p>
    <w:p w14:paraId="3E517CB4" w14:textId="2CAE52DA" w:rsidR="006251C5" w:rsidRPr="005F53A9" w:rsidRDefault="00152524" w:rsidP="00BE16F6">
      <w:pPr>
        <w:pStyle w:val="NoSpacing"/>
        <w:jc w:val="center"/>
        <w:rPr>
          <w:rFonts w:cstheme="minorHAnsi"/>
          <w:b/>
          <w:bCs/>
          <w:sz w:val="28"/>
          <w:szCs w:val="28"/>
        </w:rPr>
      </w:pPr>
      <w:r>
        <w:rPr>
          <w:rFonts w:cstheme="minorHAnsi"/>
          <w:b/>
          <w:bCs/>
          <w:sz w:val="28"/>
          <w:szCs w:val="28"/>
        </w:rPr>
        <w:t xml:space="preserve">TSHA </w:t>
      </w:r>
      <w:r w:rsidR="006251C5" w:rsidRPr="005F53A9">
        <w:rPr>
          <w:rFonts w:cstheme="minorHAnsi"/>
          <w:b/>
          <w:bCs/>
          <w:sz w:val="28"/>
          <w:szCs w:val="28"/>
        </w:rPr>
        <w:t>SHARS QUESTION AND ANSWER DOCUMENT</w:t>
      </w:r>
    </w:p>
    <w:p w14:paraId="482FB0AB" w14:textId="1F2D73E7" w:rsidR="00BE16F6" w:rsidRPr="005F53A9" w:rsidRDefault="0000478C" w:rsidP="0000478C">
      <w:pPr>
        <w:pStyle w:val="NoSpacing"/>
        <w:jc w:val="center"/>
        <w:rPr>
          <w:rFonts w:cstheme="minorHAnsi"/>
          <w:b/>
          <w:bCs/>
          <w:sz w:val="28"/>
          <w:szCs w:val="28"/>
        </w:rPr>
      </w:pPr>
      <w:r>
        <w:rPr>
          <w:rFonts w:cstheme="minorHAnsi"/>
          <w:b/>
          <w:bCs/>
          <w:sz w:val="28"/>
          <w:szCs w:val="28"/>
        </w:rPr>
        <w:t>May</w:t>
      </w:r>
      <w:r w:rsidR="00BE16F6" w:rsidRPr="005F53A9">
        <w:rPr>
          <w:rFonts w:cstheme="minorHAnsi"/>
          <w:b/>
          <w:bCs/>
          <w:sz w:val="28"/>
          <w:szCs w:val="28"/>
        </w:rPr>
        <w:t xml:space="preserve"> 2022</w:t>
      </w:r>
    </w:p>
    <w:p w14:paraId="026CB1A7" w14:textId="1EE8172E" w:rsidR="006251C5" w:rsidRPr="005F53A9" w:rsidRDefault="006251C5" w:rsidP="006251C5">
      <w:pPr>
        <w:rPr>
          <w:rFonts w:eastAsia="Times New Roman" w:cstheme="minorHAnsi"/>
          <w:color w:val="000000"/>
          <w:sz w:val="20"/>
          <w:szCs w:val="20"/>
        </w:rPr>
      </w:pPr>
    </w:p>
    <w:p w14:paraId="290649E0" w14:textId="09652EA2" w:rsidR="00BE16F6" w:rsidRPr="005F53A9" w:rsidRDefault="006251C5" w:rsidP="00BE16F6">
      <w:pPr>
        <w:rPr>
          <w:rFonts w:eastAsia="Times New Roman" w:cstheme="minorHAnsi"/>
          <w:color w:val="000000"/>
          <w:sz w:val="22"/>
          <w:szCs w:val="22"/>
        </w:rPr>
      </w:pPr>
      <w:r w:rsidRPr="005F53A9">
        <w:rPr>
          <w:rFonts w:eastAsia="Times New Roman" w:cstheme="minorHAnsi"/>
          <w:color w:val="000000"/>
          <w:sz w:val="20"/>
          <w:szCs w:val="20"/>
        </w:rPr>
        <w:t>In response to questions submitted to TSHA</w:t>
      </w:r>
      <w:r w:rsidR="00BE16F6" w:rsidRPr="005F53A9">
        <w:rPr>
          <w:rFonts w:eastAsia="Times New Roman" w:cstheme="minorHAnsi"/>
          <w:color w:val="000000"/>
          <w:sz w:val="20"/>
          <w:szCs w:val="20"/>
        </w:rPr>
        <w:t xml:space="preserve"> and the HHSC</w:t>
      </w:r>
      <w:r w:rsidR="00CC3FA0" w:rsidRPr="005F53A9">
        <w:rPr>
          <w:rFonts w:eastAsia="Times New Roman" w:cstheme="minorHAnsi"/>
          <w:color w:val="000000"/>
          <w:sz w:val="20"/>
          <w:szCs w:val="20"/>
        </w:rPr>
        <w:t xml:space="preserve"> </w:t>
      </w:r>
      <w:r w:rsidR="00BE16F6" w:rsidRPr="005F53A9">
        <w:rPr>
          <w:rFonts w:eastAsia="Times New Roman" w:cstheme="minorHAnsi"/>
          <w:color w:val="000000"/>
          <w:sz w:val="20"/>
          <w:szCs w:val="20"/>
        </w:rPr>
        <w:t>regarding the new SHARS rules,</w:t>
      </w:r>
      <w:r w:rsidRPr="005F53A9">
        <w:rPr>
          <w:rFonts w:eastAsia="Times New Roman" w:cstheme="minorHAnsi"/>
          <w:color w:val="000000"/>
          <w:sz w:val="20"/>
          <w:szCs w:val="20"/>
        </w:rPr>
        <w:t xml:space="preserve"> the following</w:t>
      </w:r>
      <w:r w:rsidR="00BE16F6" w:rsidRPr="005F53A9">
        <w:rPr>
          <w:rFonts w:eastAsia="Times New Roman" w:cstheme="minorHAnsi"/>
          <w:color w:val="000000"/>
          <w:sz w:val="20"/>
          <w:szCs w:val="20"/>
        </w:rPr>
        <w:t xml:space="preserve"> answers have been developed:</w:t>
      </w:r>
    </w:p>
    <w:p w14:paraId="2D103D87" w14:textId="77777777" w:rsidR="00BE16F6" w:rsidRPr="005F53A9" w:rsidRDefault="00BE16F6" w:rsidP="00BE16F6">
      <w:pPr>
        <w:rPr>
          <w:rFonts w:eastAsia="Times New Roman" w:cstheme="minorHAnsi"/>
          <w:color w:val="000000"/>
          <w:sz w:val="22"/>
          <w:szCs w:val="22"/>
        </w:rPr>
      </w:pPr>
    </w:p>
    <w:p w14:paraId="1142A0B3" w14:textId="7B115654" w:rsidR="00152524" w:rsidRDefault="00715AC6" w:rsidP="00152524">
      <w:pPr>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6251C5" w:rsidRPr="005F53A9">
        <w:rPr>
          <w:rFonts w:eastAsia="Times New Roman" w:cstheme="minorHAnsi"/>
          <w:color w:val="000000" w:themeColor="text1"/>
          <w:sz w:val="20"/>
          <w:szCs w:val="20"/>
        </w:rPr>
        <w:t>What does the referral look like? Would I need a general written document from another provider with an NPI number saying for example, “this student needs comprehensive audiological evaluations and hearing aid checks” or is the referral one of the recommendations that doctors typically include at the bottom of their reports</w:t>
      </w:r>
      <w:r w:rsidR="00CC3FA0" w:rsidRPr="005F53A9">
        <w:rPr>
          <w:rFonts w:eastAsia="Times New Roman" w:cstheme="minorHAnsi"/>
          <w:color w:val="000000" w:themeColor="text1"/>
          <w:sz w:val="20"/>
          <w:szCs w:val="20"/>
        </w:rPr>
        <w:t>?</w:t>
      </w:r>
    </w:p>
    <w:p w14:paraId="6329D936" w14:textId="77777777" w:rsidR="00152524" w:rsidRDefault="00152524" w:rsidP="00152524">
      <w:pPr>
        <w:rPr>
          <w:rFonts w:eastAsia="Times New Roman" w:cstheme="minorHAnsi"/>
          <w:color w:val="000000" w:themeColor="text1"/>
          <w:sz w:val="20"/>
          <w:szCs w:val="20"/>
        </w:rPr>
      </w:pPr>
    </w:p>
    <w:p w14:paraId="28F37939" w14:textId="041413A7" w:rsidR="006251C5" w:rsidRPr="00152524" w:rsidRDefault="00715AC6" w:rsidP="00152524">
      <w:pPr>
        <w:rPr>
          <w:rFonts w:eastAsia="Times New Roman" w:cstheme="minorHAnsi"/>
          <w:color w:val="000000"/>
          <w:sz w:val="22"/>
          <w:szCs w:val="22"/>
        </w:rPr>
      </w:pPr>
      <w:r w:rsidRPr="004E22E0">
        <w:rPr>
          <w:rFonts w:eastAsia="Times New Roman" w:cstheme="minorHAnsi"/>
          <w:b/>
          <w:bCs/>
          <w:color w:val="000000" w:themeColor="text1"/>
          <w:sz w:val="22"/>
          <w:szCs w:val="22"/>
        </w:rPr>
        <w:t>A.</w:t>
      </w:r>
      <w:r w:rsidRPr="005F53A9">
        <w:rPr>
          <w:rFonts w:eastAsia="Times New Roman" w:cstheme="minorHAnsi"/>
          <w:color w:val="000000" w:themeColor="text1"/>
          <w:sz w:val="22"/>
          <w:szCs w:val="22"/>
        </w:rPr>
        <w:t xml:space="preserve">  </w:t>
      </w:r>
      <w:r w:rsidR="006251C5" w:rsidRPr="005F53A9">
        <w:rPr>
          <w:rFonts w:eastAsia="Times New Roman" w:cstheme="minorHAnsi"/>
          <w:color w:val="000000" w:themeColor="text1"/>
          <w:sz w:val="22"/>
          <w:szCs w:val="22"/>
        </w:rPr>
        <w:t>According to the SHARS Policy Handbook (Pag 21)</w:t>
      </w:r>
      <w:r w:rsidR="00BE16F6" w:rsidRPr="005F53A9">
        <w:rPr>
          <w:rFonts w:eastAsia="Times New Roman" w:cstheme="minorHAnsi"/>
          <w:color w:val="000000" w:themeColor="text1"/>
          <w:sz w:val="22"/>
          <w:szCs w:val="22"/>
        </w:rPr>
        <w:t>, the evaluation can serve as the referral. TEA has provided a form for referral that some districts are attaching to the evaluation.</w:t>
      </w:r>
    </w:p>
    <w:p w14:paraId="39841AA7" w14:textId="77777777" w:rsidR="00152524" w:rsidRDefault="00715AC6" w:rsidP="00BE16F6">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6251C5" w:rsidRPr="005F53A9">
        <w:rPr>
          <w:rFonts w:eastAsia="Times New Roman" w:cstheme="minorHAnsi"/>
          <w:color w:val="000000" w:themeColor="text1"/>
          <w:sz w:val="20"/>
          <w:szCs w:val="20"/>
        </w:rPr>
        <w:t>What exactly constitutes a referral for speech therapy? Can a statement of need in the evaluation by the SLP suffice?</w:t>
      </w:r>
      <w:r w:rsidR="00152524">
        <w:rPr>
          <w:rFonts w:eastAsia="Times New Roman" w:cstheme="minorHAnsi"/>
          <w:color w:val="000000" w:themeColor="text1"/>
          <w:sz w:val="20"/>
          <w:szCs w:val="20"/>
        </w:rPr>
        <w:t xml:space="preserve">  </w:t>
      </w:r>
    </w:p>
    <w:p w14:paraId="24EEB66C" w14:textId="577EE0D4" w:rsidR="00385DDC" w:rsidRPr="005F53A9" w:rsidRDefault="00715AC6" w:rsidP="00BE16F6">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385DDC" w:rsidRPr="005F53A9">
        <w:rPr>
          <w:rFonts w:eastAsia="Times New Roman" w:cstheme="minorHAnsi"/>
          <w:color w:val="000000" w:themeColor="text1"/>
          <w:sz w:val="20"/>
          <w:szCs w:val="20"/>
        </w:rPr>
        <w:t>TEA has recommended a referral form.</w:t>
      </w:r>
      <w:r w:rsidR="00CF784F">
        <w:rPr>
          <w:rFonts w:eastAsia="Times New Roman" w:cstheme="minorHAnsi"/>
          <w:color w:val="000000" w:themeColor="text1"/>
          <w:sz w:val="20"/>
          <w:szCs w:val="20"/>
        </w:rPr>
        <w:t xml:space="preserve">  (See below)</w:t>
      </w:r>
    </w:p>
    <w:p w14:paraId="6C799DDF" w14:textId="77777777" w:rsidR="00152524" w:rsidRDefault="00715AC6" w:rsidP="00715AC6">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6251C5" w:rsidRPr="005F53A9">
        <w:rPr>
          <w:rFonts w:eastAsia="Times New Roman" w:cstheme="minorHAnsi"/>
          <w:color w:val="000000" w:themeColor="text1"/>
          <w:sz w:val="20"/>
          <w:szCs w:val="20"/>
        </w:rPr>
        <w:t xml:space="preserve">Will a Speech </w:t>
      </w:r>
      <w:r w:rsidR="00CC3FA0" w:rsidRPr="005F53A9">
        <w:rPr>
          <w:rFonts w:eastAsia="Times New Roman" w:cstheme="minorHAnsi"/>
          <w:color w:val="000000" w:themeColor="text1"/>
          <w:sz w:val="20"/>
          <w:szCs w:val="20"/>
        </w:rPr>
        <w:t xml:space="preserve">Pathologist </w:t>
      </w:r>
      <w:r w:rsidR="006251C5" w:rsidRPr="005F53A9">
        <w:rPr>
          <w:rFonts w:eastAsia="Times New Roman" w:cstheme="minorHAnsi"/>
          <w:color w:val="000000" w:themeColor="text1"/>
          <w:sz w:val="20"/>
          <w:szCs w:val="20"/>
        </w:rPr>
        <w:t>with an NPI number need to have a separate document to serve as the referral vs. the evaluation? </w:t>
      </w:r>
    </w:p>
    <w:p w14:paraId="6955E009" w14:textId="7CDAAF07" w:rsidR="00715AC6" w:rsidRPr="00152524" w:rsidRDefault="00715AC6" w:rsidP="00715AC6">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385DDC" w:rsidRPr="005F53A9">
        <w:rPr>
          <w:rFonts w:eastAsia="Times New Roman" w:cstheme="minorHAnsi"/>
          <w:color w:val="000000" w:themeColor="text1"/>
          <w:sz w:val="20"/>
          <w:szCs w:val="20"/>
        </w:rPr>
        <w:t>TEA has recommended a referral form.</w:t>
      </w:r>
    </w:p>
    <w:p w14:paraId="1439409A" w14:textId="21205140" w:rsidR="00385DDC" w:rsidRPr="005F53A9" w:rsidRDefault="00715AC6" w:rsidP="00715AC6">
      <w:pPr>
        <w:spacing w:before="160" w:after="160" w:line="253" w:lineRule="atLeast"/>
        <w:rPr>
          <w:rFonts w:eastAsia="Times New Roman" w:cstheme="minorHAnsi"/>
          <w:color w:val="000000" w:themeColor="text1"/>
          <w:sz w:val="22"/>
          <w:szCs w:val="22"/>
        </w:rPr>
      </w:pPr>
      <w:r w:rsidRPr="004E22E0">
        <w:rPr>
          <w:rFonts w:eastAsia="Times New Roman" w:cstheme="minorHAnsi"/>
          <w:b/>
          <w:bCs/>
          <w:color w:val="000000" w:themeColor="text1"/>
          <w:sz w:val="22"/>
          <w:szCs w:val="22"/>
        </w:rPr>
        <w:t>Q.</w:t>
      </w:r>
      <w:r w:rsidRPr="005F53A9">
        <w:rPr>
          <w:rFonts w:eastAsia="Times New Roman" w:cstheme="minorHAnsi"/>
          <w:color w:val="000000" w:themeColor="text1"/>
          <w:sz w:val="22"/>
          <w:szCs w:val="22"/>
        </w:rPr>
        <w:t xml:space="preserve">  </w:t>
      </w:r>
      <w:r w:rsidR="006251C5" w:rsidRPr="005F53A9">
        <w:rPr>
          <w:rFonts w:eastAsia="Times New Roman" w:cstheme="minorHAnsi"/>
          <w:color w:val="000000" w:themeColor="text1"/>
          <w:sz w:val="20"/>
          <w:szCs w:val="20"/>
        </w:rPr>
        <w:t>If a provider writes a referral for a speech therapy evaluation, is that referral retroactive for the testing that was completed the year or two before? In other words, the student isn’t due for a re-evaluation for another year or two. </w:t>
      </w:r>
    </w:p>
    <w:p w14:paraId="2DFBB356" w14:textId="45A23E93" w:rsidR="00385DDC" w:rsidRPr="005F53A9" w:rsidRDefault="00715AC6" w:rsidP="00385DDC">
      <w:pPr>
        <w:spacing w:before="100" w:beforeAutospacing="1" w:after="160" w:line="283" w:lineRule="atLeast"/>
        <w:rPr>
          <w:rFonts w:eastAsia="Times New Roman" w:cstheme="minorHAnsi"/>
          <w:color w:val="000000" w:themeColor="text1"/>
          <w:sz w:val="27"/>
          <w:szCs w:val="27"/>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385DDC" w:rsidRPr="005F53A9">
        <w:rPr>
          <w:rFonts w:eastAsia="Times New Roman" w:cstheme="minorHAnsi"/>
          <w:color w:val="000000" w:themeColor="text1"/>
          <w:sz w:val="20"/>
          <w:szCs w:val="20"/>
        </w:rPr>
        <w:t>Having a referral document</w:t>
      </w:r>
      <w:r w:rsidR="00CC3FA0" w:rsidRPr="005F53A9">
        <w:rPr>
          <w:rFonts w:eastAsia="Times New Roman" w:cstheme="minorHAnsi"/>
          <w:color w:val="000000" w:themeColor="text1"/>
          <w:sz w:val="20"/>
          <w:szCs w:val="20"/>
        </w:rPr>
        <w:t xml:space="preserve"> like the one recommended by TEA </w:t>
      </w:r>
      <w:r w:rsidR="00385DDC" w:rsidRPr="005F53A9">
        <w:rPr>
          <w:rFonts w:eastAsia="Times New Roman" w:cstheme="minorHAnsi"/>
          <w:color w:val="000000" w:themeColor="text1"/>
          <w:sz w:val="20"/>
          <w:szCs w:val="20"/>
        </w:rPr>
        <w:t>referencing the prior evaluation is the most viable option</w:t>
      </w:r>
      <w:r w:rsidR="00CF784F">
        <w:rPr>
          <w:rFonts w:eastAsia="Times New Roman" w:cstheme="minorHAnsi"/>
          <w:color w:val="000000" w:themeColor="text1"/>
          <w:sz w:val="20"/>
          <w:szCs w:val="20"/>
        </w:rPr>
        <w:t>, per HHSC.</w:t>
      </w:r>
    </w:p>
    <w:p w14:paraId="63D84C09" w14:textId="23F7B9F9" w:rsidR="006251C5" w:rsidRPr="005F53A9" w:rsidRDefault="00715AC6" w:rsidP="00385DDC">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6251C5" w:rsidRPr="005F53A9">
        <w:rPr>
          <w:rFonts w:eastAsia="Times New Roman" w:cstheme="minorHAnsi"/>
          <w:color w:val="000000" w:themeColor="text1"/>
          <w:sz w:val="20"/>
          <w:szCs w:val="20"/>
        </w:rPr>
        <w:t>Can a</w:t>
      </w:r>
      <w:r w:rsidR="00CC3FA0" w:rsidRPr="005F53A9">
        <w:rPr>
          <w:rFonts w:eastAsia="Times New Roman" w:cstheme="minorHAnsi"/>
          <w:color w:val="000000" w:themeColor="text1"/>
          <w:sz w:val="20"/>
          <w:szCs w:val="20"/>
        </w:rPr>
        <w:t>n</w:t>
      </w:r>
      <w:r w:rsidR="006251C5" w:rsidRPr="005F53A9">
        <w:rPr>
          <w:rFonts w:eastAsia="Times New Roman" w:cstheme="minorHAnsi"/>
          <w:color w:val="000000" w:themeColor="text1"/>
          <w:sz w:val="20"/>
          <w:szCs w:val="20"/>
        </w:rPr>
        <w:t xml:space="preserve"> SLP work as a prescribing NPI for referral for services? Can this be done with a template referral/ letter of medical necessity for our existing </w:t>
      </w:r>
      <w:r w:rsidR="00BD3E49" w:rsidRPr="005F53A9">
        <w:rPr>
          <w:rFonts w:eastAsia="Times New Roman" w:cstheme="minorHAnsi"/>
          <w:color w:val="000000" w:themeColor="text1"/>
          <w:sz w:val="20"/>
          <w:szCs w:val="20"/>
        </w:rPr>
        <w:t>students,</w:t>
      </w:r>
      <w:r w:rsidR="006251C5" w:rsidRPr="005F53A9">
        <w:rPr>
          <w:rFonts w:eastAsia="Times New Roman" w:cstheme="minorHAnsi"/>
          <w:color w:val="000000" w:themeColor="text1"/>
          <w:sz w:val="20"/>
          <w:szCs w:val="20"/>
        </w:rPr>
        <w:t xml:space="preserve"> or will an evaluation need to be completed to work as a referral from a SLP who is a NPI provider?</w:t>
      </w:r>
    </w:p>
    <w:p w14:paraId="10C9B3BD" w14:textId="4237436E" w:rsidR="002D7F80" w:rsidRPr="005F53A9" w:rsidRDefault="00715AC6" w:rsidP="00385DDC">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2D7F80" w:rsidRPr="005F53A9">
        <w:rPr>
          <w:rFonts w:eastAsia="Times New Roman" w:cstheme="minorHAnsi"/>
          <w:color w:val="000000" w:themeColor="text1"/>
          <w:sz w:val="20"/>
          <w:szCs w:val="20"/>
        </w:rPr>
        <w:t>Yes, a</w:t>
      </w:r>
      <w:r w:rsidR="00CC3FA0" w:rsidRPr="005F53A9">
        <w:rPr>
          <w:rFonts w:eastAsia="Times New Roman" w:cstheme="minorHAnsi"/>
          <w:color w:val="000000" w:themeColor="text1"/>
          <w:sz w:val="20"/>
          <w:szCs w:val="20"/>
        </w:rPr>
        <w:t xml:space="preserve">n </w:t>
      </w:r>
      <w:r w:rsidR="002D7F80" w:rsidRPr="005F53A9">
        <w:rPr>
          <w:rFonts w:eastAsia="Times New Roman" w:cstheme="minorHAnsi"/>
          <w:color w:val="000000" w:themeColor="text1"/>
          <w:sz w:val="20"/>
          <w:szCs w:val="20"/>
        </w:rPr>
        <w:t>SLP can refer.  TEA has recommended a referral form.  A prescription or referral is not required specifically for a re-evaluation, provided the prescription or referral for services had occurred in the previous three years.</w:t>
      </w:r>
    </w:p>
    <w:p w14:paraId="3F31F859" w14:textId="77777777" w:rsidR="00152524" w:rsidRDefault="00715AC6" w:rsidP="002D7F80">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 xml:space="preserve">Q.  </w:t>
      </w:r>
      <w:r w:rsidR="006251C5" w:rsidRPr="005F53A9">
        <w:rPr>
          <w:rFonts w:eastAsia="Times New Roman" w:cstheme="minorHAnsi"/>
          <w:color w:val="000000" w:themeColor="text1"/>
          <w:sz w:val="20"/>
          <w:szCs w:val="20"/>
        </w:rPr>
        <w:t xml:space="preserve">Can you tell me if we have a speech pathologist that already supervises an SLP-A and she has an NPI number, can she sign off on the referrals for evaluation for Speech and not actually do </w:t>
      </w:r>
      <w:r w:rsidR="005F53A9" w:rsidRPr="005F53A9">
        <w:rPr>
          <w:rFonts w:eastAsia="Times New Roman" w:cstheme="minorHAnsi"/>
          <w:color w:val="000000" w:themeColor="text1"/>
          <w:sz w:val="20"/>
          <w:szCs w:val="20"/>
        </w:rPr>
        <w:t xml:space="preserve">the </w:t>
      </w:r>
      <w:r w:rsidR="006251C5" w:rsidRPr="005F53A9">
        <w:rPr>
          <w:rFonts w:eastAsia="Times New Roman" w:cstheme="minorHAnsi"/>
          <w:color w:val="000000" w:themeColor="text1"/>
          <w:sz w:val="20"/>
          <w:szCs w:val="20"/>
        </w:rPr>
        <w:t>speech evaluation herself?</w:t>
      </w:r>
    </w:p>
    <w:p w14:paraId="5CA73063" w14:textId="07F0E29B" w:rsidR="002D7F80" w:rsidRPr="005F53A9" w:rsidRDefault="00715AC6" w:rsidP="002D7F80">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2D7F80" w:rsidRPr="005F53A9">
        <w:rPr>
          <w:rFonts w:eastAsia="Times New Roman" w:cstheme="minorHAnsi"/>
          <w:color w:val="000000" w:themeColor="text1"/>
          <w:sz w:val="20"/>
          <w:szCs w:val="20"/>
        </w:rPr>
        <w:t>This is not advisable.</w:t>
      </w:r>
    </w:p>
    <w:p w14:paraId="574A6DD9" w14:textId="18CCC972" w:rsidR="006251C5" w:rsidRPr="005F53A9" w:rsidRDefault="00715AC6" w:rsidP="002D7F80">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2"/>
          <w:szCs w:val="22"/>
        </w:rPr>
        <w:t>Q.</w:t>
      </w:r>
      <w:r w:rsidRPr="005F53A9">
        <w:rPr>
          <w:rFonts w:eastAsia="Times New Roman" w:cstheme="minorHAnsi"/>
          <w:color w:val="000000" w:themeColor="text1"/>
          <w:sz w:val="22"/>
          <w:szCs w:val="22"/>
        </w:rPr>
        <w:t xml:space="preserve">  </w:t>
      </w:r>
      <w:r w:rsidR="006251C5" w:rsidRPr="005F53A9">
        <w:rPr>
          <w:rFonts w:eastAsia="Times New Roman" w:cstheme="minorHAnsi"/>
          <w:color w:val="000000" w:themeColor="text1"/>
          <w:sz w:val="20"/>
          <w:szCs w:val="20"/>
        </w:rPr>
        <w:t>If an SLP Assistant delivered a service and documented within the new 7-day policy, would it still meet the 7-day policy requirement if the SLP supervisor didn’t sign off on the service until after 7 days of the service rendered?</w:t>
      </w:r>
    </w:p>
    <w:p w14:paraId="0B144DD3" w14:textId="64914AA1" w:rsidR="002D7F80" w:rsidRPr="00CF784F" w:rsidRDefault="00715AC6" w:rsidP="002D7F80">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2D7F80" w:rsidRPr="005F53A9">
        <w:rPr>
          <w:rFonts w:eastAsia="Times New Roman" w:cstheme="minorHAnsi"/>
          <w:color w:val="000000" w:themeColor="text1"/>
          <w:sz w:val="20"/>
          <w:szCs w:val="20"/>
        </w:rPr>
        <w:t>You are advised to have the SLP sign off on an SLP-Assistant’s services/billing logs within 7 days from the date of service.</w:t>
      </w:r>
    </w:p>
    <w:p w14:paraId="5D64F546" w14:textId="50A8D630" w:rsidR="006251C5" w:rsidRPr="005F53A9" w:rsidRDefault="00715AC6" w:rsidP="004423B3">
      <w:pPr>
        <w:spacing w:before="160" w:after="160" w:line="25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6251C5" w:rsidRPr="005F53A9">
        <w:rPr>
          <w:rFonts w:eastAsia="Times New Roman" w:cstheme="minorHAnsi"/>
          <w:color w:val="000000" w:themeColor="text1"/>
          <w:sz w:val="20"/>
          <w:szCs w:val="20"/>
        </w:rPr>
        <w:t xml:space="preserve">We understand that an SLP’s evaluation can serve as the referral for ST SHARS services. And, going forward, if the SLP self-referred this would require a referring provider NPI number from the SLP. </w:t>
      </w:r>
      <w:r w:rsidR="005F53A9" w:rsidRPr="005F53A9">
        <w:rPr>
          <w:rFonts w:eastAsia="Times New Roman" w:cstheme="minorHAnsi"/>
          <w:color w:val="000000" w:themeColor="text1"/>
          <w:sz w:val="20"/>
          <w:szCs w:val="20"/>
        </w:rPr>
        <w:t>D</w:t>
      </w:r>
      <w:r w:rsidR="006251C5" w:rsidRPr="005F53A9">
        <w:rPr>
          <w:rFonts w:eastAsia="Times New Roman" w:cstheme="minorHAnsi"/>
          <w:color w:val="000000" w:themeColor="text1"/>
          <w:sz w:val="20"/>
          <w:szCs w:val="20"/>
        </w:rPr>
        <w:t xml:space="preserve">oes this also apply to SLP </w:t>
      </w:r>
      <w:r w:rsidR="006251C5" w:rsidRPr="005F53A9">
        <w:rPr>
          <w:rFonts w:eastAsia="Times New Roman" w:cstheme="minorHAnsi"/>
          <w:color w:val="000000" w:themeColor="text1"/>
          <w:sz w:val="20"/>
          <w:szCs w:val="20"/>
        </w:rPr>
        <w:lastRenderedPageBreak/>
        <w:t>Interns? In other words, can an SLP evaluation (conducted by an SLP Intern) serve as the self-referral for ST SHARS services thus requiring an NPI number from the SLP Intern?</w:t>
      </w:r>
    </w:p>
    <w:p w14:paraId="4F3C96BB" w14:textId="4BB83F67" w:rsidR="004423B3" w:rsidRPr="005F53A9" w:rsidRDefault="00715AC6" w:rsidP="004423B3">
      <w:pPr>
        <w:spacing w:before="160" w:after="160" w:line="253" w:lineRule="atLeast"/>
        <w:rPr>
          <w:rFonts w:eastAsia="Times New Roman" w:cstheme="minorHAnsi"/>
          <w:color w:val="000000" w:themeColor="text1"/>
          <w:sz w:val="22"/>
          <w:szCs w:val="22"/>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4423B3" w:rsidRPr="005F53A9">
        <w:rPr>
          <w:rFonts w:eastAsia="Times New Roman" w:cstheme="minorHAnsi"/>
          <w:color w:val="000000" w:themeColor="text1"/>
          <w:sz w:val="20"/>
          <w:szCs w:val="20"/>
        </w:rPr>
        <w:t>The person completing the referral/evaluation must have an NPI number and be a Medicaid provider.</w:t>
      </w:r>
    </w:p>
    <w:p w14:paraId="0522574C" w14:textId="52E34429" w:rsidR="006251C5" w:rsidRPr="005F53A9" w:rsidRDefault="00715AC6" w:rsidP="004423B3">
      <w:pPr>
        <w:spacing w:before="100" w:beforeAutospacing="1" w:after="160" w:line="28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4423B3" w:rsidRPr="005F53A9">
        <w:rPr>
          <w:rFonts w:eastAsia="Times New Roman" w:cstheme="minorHAnsi"/>
          <w:color w:val="000000" w:themeColor="text1"/>
          <w:sz w:val="20"/>
          <w:szCs w:val="20"/>
        </w:rPr>
        <w:t xml:space="preserve">Do </w:t>
      </w:r>
      <w:r w:rsidR="006251C5" w:rsidRPr="005F53A9">
        <w:rPr>
          <w:rFonts w:eastAsia="Times New Roman" w:cstheme="minorHAnsi"/>
          <w:color w:val="000000" w:themeColor="text1"/>
          <w:sz w:val="20"/>
          <w:szCs w:val="20"/>
        </w:rPr>
        <w:t>SLPs, LSSPs, OTs and PT</w:t>
      </w:r>
      <w:r w:rsidR="005F53A9" w:rsidRPr="005F53A9">
        <w:rPr>
          <w:rFonts w:eastAsia="Times New Roman" w:cstheme="minorHAnsi"/>
          <w:color w:val="000000" w:themeColor="text1"/>
          <w:sz w:val="20"/>
          <w:szCs w:val="20"/>
        </w:rPr>
        <w:t xml:space="preserve">s </w:t>
      </w:r>
      <w:r w:rsidR="006251C5" w:rsidRPr="005F53A9">
        <w:rPr>
          <w:rFonts w:eastAsia="Times New Roman" w:cstheme="minorHAnsi"/>
          <w:color w:val="000000" w:themeColor="text1"/>
          <w:sz w:val="20"/>
          <w:szCs w:val="20"/>
        </w:rPr>
        <w:t xml:space="preserve"> continue to wait until after the ARD to document evaluations in our SHARS platform, or do they need to document evaluations by the </w:t>
      </w:r>
      <w:r w:rsidR="005F53A9" w:rsidRPr="005F53A9">
        <w:rPr>
          <w:rFonts w:eastAsia="Times New Roman" w:cstheme="minorHAnsi"/>
          <w:color w:val="000000" w:themeColor="text1"/>
          <w:sz w:val="20"/>
          <w:szCs w:val="20"/>
        </w:rPr>
        <w:t>7th</w:t>
      </w:r>
      <w:r w:rsidR="006251C5" w:rsidRPr="005F53A9">
        <w:rPr>
          <w:rFonts w:eastAsia="Times New Roman" w:cstheme="minorHAnsi"/>
          <w:color w:val="000000" w:themeColor="text1"/>
          <w:sz w:val="20"/>
          <w:szCs w:val="20"/>
        </w:rPr>
        <w:t xml:space="preserve"> day? The ARD is when the committee agrees to the evaluation and recommendations. I am not sure if the provider can bill for an actual evaluation when the ARD happens after the 7 days.</w:t>
      </w:r>
    </w:p>
    <w:p w14:paraId="36058E78" w14:textId="151EE1D3" w:rsidR="004423B3" w:rsidRPr="005F53A9" w:rsidRDefault="00715AC6" w:rsidP="004423B3">
      <w:pPr>
        <w:spacing w:before="100" w:beforeAutospacing="1" w:after="160" w:line="28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4423B3" w:rsidRPr="005F53A9">
        <w:rPr>
          <w:rFonts w:eastAsia="Times New Roman" w:cstheme="minorHAnsi"/>
          <w:color w:val="000000" w:themeColor="text1"/>
          <w:sz w:val="20"/>
          <w:szCs w:val="20"/>
        </w:rPr>
        <w:t>The district can bill for the evaluation, if documented within 7 days from the date of service.  The billing process does not indicate eligibility, as that is determined by the ARD Committee.</w:t>
      </w:r>
    </w:p>
    <w:p w14:paraId="48AC7127" w14:textId="3244D1B3" w:rsidR="002A38F0" w:rsidRPr="005F53A9" w:rsidRDefault="00715AC6" w:rsidP="004423B3">
      <w:pPr>
        <w:spacing w:before="100" w:beforeAutospacing="1" w:after="160" w:line="28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Q.</w:t>
      </w:r>
      <w:r w:rsidRPr="005F53A9">
        <w:rPr>
          <w:rFonts w:eastAsia="Times New Roman" w:cstheme="minorHAnsi"/>
          <w:color w:val="000000" w:themeColor="text1"/>
          <w:sz w:val="20"/>
          <w:szCs w:val="20"/>
        </w:rPr>
        <w:t xml:space="preserve">  </w:t>
      </w:r>
      <w:r w:rsidR="002A38F0" w:rsidRPr="005F53A9">
        <w:rPr>
          <w:rFonts w:eastAsia="Times New Roman" w:cstheme="minorHAnsi"/>
          <w:color w:val="000000" w:themeColor="text1"/>
          <w:sz w:val="20"/>
          <w:szCs w:val="20"/>
        </w:rPr>
        <w:t>For students with evaluations already on file and signed by a SLP, if the SLP has an active NPI number and enrolls in Tx Medicaid prior to the effective date, can the evaluation for speech services previously performed by the SLP suffice as the referral?</w:t>
      </w:r>
    </w:p>
    <w:p w14:paraId="7C1FBDAB" w14:textId="5C8D6251" w:rsidR="002A38F0" w:rsidRPr="005F53A9" w:rsidRDefault="00715AC6" w:rsidP="004423B3">
      <w:pPr>
        <w:spacing w:before="100" w:beforeAutospacing="1" w:after="160" w:line="28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2A38F0" w:rsidRPr="005F53A9">
        <w:rPr>
          <w:rFonts w:eastAsia="Times New Roman" w:cstheme="minorHAnsi"/>
          <w:color w:val="000000" w:themeColor="text1"/>
          <w:sz w:val="20"/>
          <w:szCs w:val="20"/>
        </w:rPr>
        <w:t>Yes, but you are advised to attach the referral form recommended by TEA.</w:t>
      </w:r>
    </w:p>
    <w:p w14:paraId="53DE6B78" w14:textId="7E7900A1" w:rsidR="006251C5" w:rsidRPr="005F53A9" w:rsidRDefault="004E22E0" w:rsidP="005F53A9">
      <w:pPr>
        <w:spacing w:after="160" w:line="283" w:lineRule="atLeast"/>
        <w:rPr>
          <w:rFonts w:eastAsia="Times New Roman" w:cstheme="minorHAnsi"/>
          <w:color w:val="000000" w:themeColor="text1"/>
          <w:sz w:val="27"/>
          <w:szCs w:val="27"/>
        </w:rPr>
      </w:pPr>
      <w:r w:rsidRPr="004E22E0">
        <w:rPr>
          <w:rFonts w:eastAsia="Times New Roman" w:cstheme="minorHAnsi"/>
          <w:b/>
          <w:bCs/>
          <w:color w:val="000000" w:themeColor="text1"/>
          <w:sz w:val="20"/>
          <w:szCs w:val="20"/>
        </w:rPr>
        <w:t>Q.</w:t>
      </w:r>
      <w:r>
        <w:rPr>
          <w:rFonts w:eastAsia="Times New Roman" w:cstheme="minorHAnsi"/>
          <w:color w:val="000000" w:themeColor="text1"/>
          <w:sz w:val="20"/>
          <w:szCs w:val="20"/>
        </w:rPr>
        <w:t xml:space="preserve">  </w:t>
      </w:r>
      <w:r w:rsidR="002A38F0" w:rsidRPr="005F53A9">
        <w:rPr>
          <w:rFonts w:eastAsia="Times New Roman" w:cstheme="minorHAnsi"/>
          <w:color w:val="000000" w:themeColor="text1"/>
          <w:sz w:val="20"/>
          <w:szCs w:val="20"/>
        </w:rPr>
        <w:t xml:space="preserve">For </w:t>
      </w:r>
      <w:r w:rsidR="006251C5" w:rsidRPr="005F53A9">
        <w:rPr>
          <w:rFonts w:eastAsia="Times New Roman" w:cstheme="minorHAnsi"/>
          <w:color w:val="000000" w:themeColor="text1"/>
          <w:sz w:val="20"/>
          <w:szCs w:val="20"/>
        </w:rPr>
        <w:t>students new to speech</w:t>
      </w:r>
      <w:r w:rsidR="002A38F0" w:rsidRPr="005F53A9">
        <w:rPr>
          <w:rFonts w:eastAsia="Times New Roman" w:cstheme="minorHAnsi"/>
          <w:color w:val="000000" w:themeColor="text1"/>
          <w:sz w:val="20"/>
          <w:szCs w:val="20"/>
        </w:rPr>
        <w:t xml:space="preserve">, </w:t>
      </w:r>
      <w:r w:rsidR="006251C5" w:rsidRPr="005F53A9">
        <w:rPr>
          <w:rFonts w:eastAsia="Times New Roman" w:cstheme="minorHAnsi"/>
          <w:color w:val="000000" w:themeColor="text1"/>
          <w:sz w:val="20"/>
          <w:szCs w:val="20"/>
        </w:rPr>
        <w:t>can an SLP's evaluation suffice as the referral if they have an NPI &amp; are enrolled in TX Medicaid, or do they have to complete a referral for the evaluation of speech and sign it themselves? (</w:t>
      </w:r>
      <w:proofErr w:type="gramStart"/>
      <w:r w:rsidR="006251C5" w:rsidRPr="005F53A9">
        <w:rPr>
          <w:rFonts w:eastAsia="Times New Roman" w:cstheme="minorHAnsi"/>
          <w:color w:val="000000" w:themeColor="text1"/>
          <w:sz w:val="20"/>
          <w:szCs w:val="20"/>
        </w:rPr>
        <w:t>seems</w:t>
      </w:r>
      <w:proofErr w:type="gramEnd"/>
      <w:r w:rsidR="006251C5" w:rsidRPr="005F53A9">
        <w:rPr>
          <w:rFonts w:eastAsia="Times New Roman" w:cstheme="minorHAnsi"/>
          <w:color w:val="000000" w:themeColor="text1"/>
          <w:sz w:val="20"/>
          <w:szCs w:val="20"/>
        </w:rPr>
        <w:t xml:space="preserve"> like they would be completing a referral for themselves to perform an evaluation of speech), or is the referral supposed to come from another source (such as a parent or teacher) but signed off on by the SLP?</w:t>
      </w:r>
    </w:p>
    <w:p w14:paraId="14A70F11" w14:textId="4E89D88C" w:rsidR="002A38F0" w:rsidRDefault="005F53A9" w:rsidP="004423B3">
      <w:pPr>
        <w:spacing w:after="160" w:line="283" w:lineRule="atLeast"/>
        <w:rPr>
          <w:rFonts w:eastAsia="Times New Roman" w:cstheme="minorHAnsi"/>
          <w:color w:val="000000" w:themeColor="text1"/>
          <w:sz w:val="20"/>
          <w:szCs w:val="20"/>
        </w:rPr>
      </w:pPr>
      <w:r w:rsidRPr="004E22E0">
        <w:rPr>
          <w:rFonts w:eastAsia="Times New Roman" w:cstheme="minorHAnsi"/>
          <w:b/>
          <w:bCs/>
          <w:color w:val="000000" w:themeColor="text1"/>
          <w:sz w:val="20"/>
          <w:szCs w:val="20"/>
        </w:rPr>
        <w:t>A.</w:t>
      </w:r>
      <w:r w:rsidRPr="005F53A9">
        <w:rPr>
          <w:rFonts w:eastAsia="Times New Roman" w:cstheme="minorHAnsi"/>
          <w:color w:val="000000" w:themeColor="text1"/>
          <w:sz w:val="20"/>
          <w:szCs w:val="20"/>
        </w:rPr>
        <w:t xml:space="preserve">  </w:t>
      </w:r>
      <w:r w:rsidR="002A38F0" w:rsidRPr="005F53A9">
        <w:rPr>
          <w:rFonts w:eastAsia="Times New Roman" w:cstheme="minorHAnsi"/>
          <w:color w:val="000000" w:themeColor="text1"/>
          <w:sz w:val="20"/>
          <w:szCs w:val="20"/>
        </w:rPr>
        <w:t xml:space="preserve">The SLP’s evaluation </w:t>
      </w:r>
      <w:r w:rsidRPr="005F53A9">
        <w:rPr>
          <w:rFonts w:eastAsia="Times New Roman" w:cstheme="minorHAnsi"/>
          <w:color w:val="000000" w:themeColor="text1"/>
          <w:sz w:val="20"/>
          <w:szCs w:val="20"/>
        </w:rPr>
        <w:t>c</w:t>
      </w:r>
      <w:r w:rsidR="002A38F0" w:rsidRPr="005F53A9">
        <w:rPr>
          <w:rFonts w:eastAsia="Times New Roman" w:cstheme="minorHAnsi"/>
          <w:color w:val="000000" w:themeColor="text1"/>
          <w:sz w:val="20"/>
          <w:szCs w:val="20"/>
        </w:rPr>
        <w:t>an serve as the referral for speech therapy services.  Please note that the evaluation serving as the “referral” for speech therapy services is different than a Child Find “referral” for evaluation, despite both using the word “referral”.</w:t>
      </w:r>
    </w:p>
    <w:p w14:paraId="19455D2F" w14:textId="4923BD17" w:rsidR="00B44F48" w:rsidRDefault="00B44F48" w:rsidP="004423B3">
      <w:pPr>
        <w:spacing w:after="160" w:line="283" w:lineRule="atLeast"/>
        <w:rPr>
          <w:rFonts w:eastAsia="Times New Roman" w:cstheme="minorHAnsi"/>
          <w:color w:val="000000" w:themeColor="text1"/>
          <w:sz w:val="20"/>
          <w:szCs w:val="20"/>
        </w:rPr>
      </w:pPr>
      <w:r>
        <w:rPr>
          <w:rFonts w:eastAsia="Times New Roman" w:cstheme="minorHAnsi"/>
          <w:color w:val="000000" w:themeColor="text1"/>
          <w:sz w:val="20"/>
          <w:szCs w:val="20"/>
        </w:rPr>
        <w:t xml:space="preserve">Q.  In the schools, a professional may conduct several evaluation sessions over </w:t>
      </w:r>
      <w:proofErr w:type="gramStart"/>
      <w:r>
        <w:rPr>
          <w:rFonts w:eastAsia="Times New Roman" w:cstheme="minorHAnsi"/>
          <w:color w:val="000000" w:themeColor="text1"/>
          <w:sz w:val="20"/>
          <w:szCs w:val="20"/>
        </w:rPr>
        <w:t>a period of time</w:t>
      </w:r>
      <w:proofErr w:type="gramEnd"/>
      <w:r>
        <w:rPr>
          <w:rFonts w:eastAsia="Times New Roman" w:cstheme="minorHAnsi"/>
          <w:color w:val="000000" w:themeColor="text1"/>
          <w:sz w:val="20"/>
          <w:szCs w:val="20"/>
        </w:rPr>
        <w:t>.  For example, the timeline to complete an initial evaluation is 45 school days.  So, an SLP may putt the child for an hour one week and then two weeks later conduct another hour of testing.  Would the professional need to document each of those sessions within 7 days from the date of each service, or just the initial note?</w:t>
      </w:r>
    </w:p>
    <w:p w14:paraId="4735673F" w14:textId="05A88EDD" w:rsidR="00CF784F" w:rsidRDefault="00B44F48" w:rsidP="004423B3">
      <w:pPr>
        <w:spacing w:after="160" w:line="283" w:lineRule="atLeast"/>
        <w:rPr>
          <w:rFonts w:eastAsia="Times New Roman" w:cstheme="minorHAnsi"/>
          <w:color w:val="000000" w:themeColor="text1"/>
          <w:sz w:val="20"/>
          <w:szCs w:val="20"/>
        </w:rPr>
      </w:pPr>
      <w:r>
        <w:rPr>
          <w:rFonts w:eastAsia="Times New Roman" w:cstheme="minorHAnsi"/>
          <w:color w:val="000000" w:themeColor="text1"/>
          <w:sz w:val="20"/>
          <w:szCs w:val="20"/>
        </w:rPr>
        <w:t xml:space="preserve">A.  Although the TMPPM SHARS Handbook does not include specific requirements relating to the </w:t>
      </w:r>
      <w:proofErr w:type="gramStart"/>
      <w:r>
        <w:rPr>
          <w:rFonts w:eastAsia="Times New Roman" w:cstheme="minorHAnsi"/>
          <w:color w:val="000000" w:themeColor="text1"/>
          <w:sz w:val="20"/>
          <w:szCs w:val="20"/>
        </w:rPr>
        <w:t>45 school</w:t>
      </w:r>
      <w:proofErr w:type="gramEnd"/>
      <w:r>
        <w:rPr>
          <w:rFonts w:eastAsia="Times New Roman" w:cstheme="minorHAnsi"/>
          <w:color w:val="000000" w:themeColor="text1"/>
          <w:sz w:val="20"/>
          <w:szCs w:val="20"/>
        </w:rPr>
        <w:t xml:space="preserve"> day timeline, it would be best practice for the provider to document each of the sessions included in the evaluation within 7 days of the service delivery.</w:t>
      </w:r>
    </w:p>
    <w:p w14:paraId="50B3B904" w14:textId="77777777" w:rsidR="00CF784F" w:rsidRPr="00DE3311" w:rsidRDefault="00CF784F" w:rsidP="00CF784F">
      <w:pPr>
        <w:rPr>
          <w:rFonts w:eastAsia="Times New Roman" w:cstheme="minorHAnsi"/>
        </w:rPr>
      </w:pPr>
      <w:r w:rsidRPr="00DE3311">
        <w:rPr>
          <w:rFonts w:eastAsia="Times New Roman" w:cstheme="minorHAnsi"/>
        </w:rPr>
        <w:lastRenderedPageBreak/>
        <w:fldChar w:fldCharType="begin"/>
      </w:r>
      <w:r w:rsidRPr="00DE3311">
        <w:rPr>
          <w:rFonts w:eastAsia="Times New Roman" w:cstheme="minorHAnsi"/>
        </w:rPr>
        <w:instrText xml:space="preserve"> INCLUDEPICTURE "/var/folders/9f/txwmd1bj0fdgfgnbdhwr4vqr0000gn/T/com.microsoft.Word/WebArchiveCopyPasteTempFiles/page7image9591296" \* MERGEFORMATINET </w:instrText>
      </w:r>
      <w:r w:rsidRPr="00DE3311">
        <w:rPr>
          <w:rFonts w:eastAsia="Times New Roman" w:cstheme="minorHAnsi"/>
        </w:rPr>
        <w:fldChar w:fldCharType="separate"/>
      </w:r>
      <w:r w:rsidRPr="00DE3311">
        <w:rPr>
          <w:rFonts w:eastAsia="Times New Roman" w:cstheme="minorHAnsi"/>
          <w:noProof/>
        </w:rPr>
        <w:drawing>
          <wp:inline distT="0" distB="0" distL="0" distR="0" wp14:anchorId="19CDA11A" wp14:editId="00AA2356">
            <wp:extent cx="1828800" cy="1064895"/>
            <wp:effectExtent l="0" t="0" r="0" b="1905"/>
            <wp:docPr id="2" name="Picture 2" descr="page7image959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7image9591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064895"/>
                    </a:xfrm>
                    <a:prstGeom prst="rect">
                      <a:avLst/>
                    </a:prstGeom>
                    <a:noFill/>
                    <a:ln>
                      <a:noFill/>
                    </a:ln>
                  </pic:spPr>
                </pic:pic>
              </a:graphicData>
            </a:graphic>
          </wp:inline>
        </w:drawing>
      </w:r>
      <w:r w:rsidRPr="00DE3311">
        <w:rPr>
          <w:rFonts w:eastAsia="Times New Roman" w:cstheme="minorHAnsi"/>
        </w:rPr>
        <w:fldChar w:fldCharType="end"/>
      </w:r>
      <w:r w:rsidRPr="00DE3311">
        <w:rPr>
          <w:rFonts w:eastAsia="Times New Roman" w:cstheme="minorHAnsi"/>
        </w:rPr>
        <w:fldChar w:fldCharType="begin"/>
      </w:r>
      <w:r w:rsidRPr="00DE3311">
        <w:rPr>
          <w:rFonts w:eastAsia="Times New Roman" w:cstheme="minorHAnsi"/>
        </w:rPr>
        <w:instrText xml:space="preserve"> INCLUDEPICTURE "/var/folders/9f/txwmd1bj0fdgfgnbdhwr4vqr0000gn/T/com.microsoft.Word/WebArchiveCopyPasteTempFiles/page7image9589632" \* MERGEFORMATINET </w:instrText>
      </w:r>
      <w:r w:rsidRPr="00DE3311">
        <w:rPr>
          <w:rFonts w:eastAsia="Times New Roman" w:cstheme="minorHAnsi"/>
        </w:rPr>
        <w:fldChar w:fldCharType="separate"/>
      </w:r>
      <w:r w:rsidRPr="00DE3311">
        <w:rPr>
          <w:rFonts w:eastAsia="Times New Roman" w:cstheme="minorHAnsi"/>
          <w:noProof/>
        </w:rPr>
        <w:drawing>
          <wp:inline distT="0" distB="0" distL="0" distR="0" wp14:anchorId="1A1A5942" wp14:editId="7FDF0999">
            <wp:extent cx="5943600" cy="2647950"/>
            <wp:effectExtent l="0" t="0" r="0" b="6350"/>
            <wp:docPr id="1" name="Picture 1" descr="page7image958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image9589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47950"/>
                    </a:xfrm>
                    <a:prstGeom prst="rect">
                      <a:avLst/>
                    </a:prstGeom>
                    <a:noFill/>
                    <a:ln>
                      <a:noFill/>
                    </a:ln>
                  </pic:spPr>
                </pic:pic>
              </a:graphicData>
            </a:graphic>
          </wp:inline>
        </w:drawing>
      </w:r>
      <w:r w:rsidRPr="00DE3311">
        <w:rPr>
          <w:rFonts w:eastAsia="Times New Roman" w:cstheme="minorHAnsi"/>
        </w:rPr>
        <w:fldChar w:fldCharType="end"/>
      </w:r>
    </w:p>
    <w:p w14:paraId="6E0BAB33" w14:textId="77777777" w:rsidR="00CF784F" w:rsidRPr="005F53A9" w:rsidRDefault="00CF784F" w:rsidP="004423B3">
      <w:pPr>
        <w:spacing w:after="160" w:line="283" w:lineRule="atLeast"/>
        <w:rPr>
          <w:rFonts w:eastAsia="Times New Roman" w:cstheme="minorHAnsi"/>
          <w:color w:val="000000" w:themeColor="text1"/>
          <w:sz w:val="27"/>
          <w:szCs w:val="27"/>
        </w:rPr>
      </w:pPr>
    </w:p>
    <w:p w14:paraId="30B8132F" w14:textId="77777777" w:rsidR="00EE2E84" w:rsidRPr="00BE16F6" w:rsidRDefault="00EE2E84">
      <w:pPr>
        <w:rPr>
          <w:color w:val="000000" w:themeColor="text1"/>
        </w:rPr>
      </w:pPr>
    </w:p>
    <w:sectPr w:rsidR="00EE2E84" w:rsidRPr="00BE1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0B3"/>
    <w:multiLevelType w:val="multilevel"/>
    <w:tmpl w:val="9F9CD2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6567F"/>
    <w:multiLevelType w:val="hybridMultilevel"/>
    <w:tmpl w:val="496406DE"/>
    <w:lvl w:ilvl="0" w:tplc="EB9ED12E">
      <w:start w:val="17"/>
      <w:numFmt w:val="upperLetter"/>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56392"/>
    <w:multiLevelType w:val="hybridMultilevel"/>
    <w:tmpl w:val="A50A0632"/>
    <w:lvl w:ilvl="0" w:tplc="CF8E171A">
      <w:start w:val="17"/>
      <w:numFmt w:val="upperLetter"/>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9CC"/>
    <w:multiLevelType w:val="multilevel"/>
    <w:tmpl w:val="1278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B1831"/>
    <w:multiLevelType w:val="hybridMultilevel"/>
    <w:tmpl w:val="A5786492"/>
    <w:lvl w:ilvl="0" w:tplc="57FE04BA">
      <w:start w:val="17"/>
      <w:numFmt w:val="upperLetter"/>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C5"/>
    <w:rsid w:val="0000478C"/>
    <w:rsid w:val="001208A0"/>
    <w:rsid w:val="00152524"/>
    <w:rsid w:val="002016C1"/>
    <w:rsid w:val="002A38F0"/>
    <w:rsid w:val="002D7F80"/>
    <w:rsid w:val="00385DDC"/>
    <w:rsid w:val="004423B3"/>
    <w:rsid w:val="004E22E0"/>
    <w:rsid w:val="005F53A9"/>
    <w:rsid w:val="006251C5"/>
    <w:rsid w:val="00715AC6"/>
    <w:rsid w:val="00B44F48"/>
    <w:rsid w:val="00B66697"/>
    <w:rsid w:val="00BD3E49"/>
    <w:rsid w:val="00BE16F6"/>
    <w:rsid w:val="00CC3FA0"/>
    <w:rsid w:val="00CF784F"/>
    <w:rsid w:val="00E819FE"/>
    <w:rsid w:val="00EE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670E2"/>
  <w15:chartTrackingRefBased/>
  <w15:docId w15:val="{756AAC85-8B87-E245-92A0-633BA64C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C5"/>
    <w:pPr>
      <w:ind w:left="720"/>
      <w:contextualSpacing/>
    </w:pPr>
  </w:style>
  <w:style w:type="paragraph" w:styleId="NoSpacing">
    <w:name w:val="No Spacing"/>
    <w:uiPriority w:val="1"/>
    <w:qFormat/>
    <w:rsid w:val="00BE16F6"/>
  </w:style>
  <w:style w:type="paragraph" w:customStyle="1" w:styleId="xmsonormal">
    <w:name w:val="x_msonormal"/>
    <w:basedOn w:val="Normal"/>
    <w:rsid w:val="00B666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31893">
      <w:bodyDiv w:val="1"/>
      <w:marLeft w:val="0"/>
      <w:marRight w:val="0"/>
      <w:marTop w:val="0"/>
      <w:marBottom w:val="0"/>
      <w:divBdr>
        <w:top w:val="none" w:sz="0" w:space="0" w:color="auto"/>
        <w:left w:val="none" w:sz="0" w:space="0" w:color="auto"/>
        <w:bottom w:val="none" w:sz="0" w:space="0" w:color="auto"/>
        <w:right w:val="none" w:sz="0" w:space="0" w:color="auto"/>
      </w:divBdr>
      <w:divsChild>
        <w:div w:id="640427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302844">
              <w:marLeft w:val="0"/>
              <w:marRight w:val="0"/>
              <w:marTop w:val="0"/>
              <w:marBottom w:val="0"/>
              <w:divBdr>
                <w:top w:val="none" w:sz="0" w:space="0" w:color="auto"/>
                <w:left w:val="none" w:sz="0" w:space="0" w:color="auto"/>
                <w:bottom w:val="none" w:sz="0" w:space="0" w:color="auto"/>
                <w:right w:val="none" w:sz="0" w:space="0" w:color="auto"/>
              </w:divBdr>
              <w:divsChild>
                <w:div w:id="745373090">
                  <w:marLeft w:val="0"/>
                  <w:marRight w:val="0"/>
                  <w:marTop w:val="0"/>
                  <w:marBottom w:val="0"/>
                  <w:divBdr>
                    <w:top w:val="none" w:sz="0" w:space="0" w:color="auto"/>
                    <w:left w:val="none" w:sz="0" w:space="0" w:color="auto"/>
                    <w:bottom w:val="none" w:sz="0" w:space="0" w:color="auto"/>
                    <w:right w:val="none" w:sz="0" w:space="0" w:color="auto"/>
                  </w:divBdr>
                  <w:divsChild>
                    <w:div w:id="2092385356">
                      <w:marLeft w:val="0"/>
                      <w:marRight w:val="0"/>
                      <w:marTop w:val="0"/>
                      <w:marBottom w:val="0"/>
                      <w:divBdr>
                        <w:top w:val="none" w:sz="0" w:space="0" w:color="auto"/>
                        <w:left w:val="none" w:sz="0" w:space="0" w:color="auto"/>
                        <w:bottom w:val="none" w:sz="0" w:space="0" w:color="auto"/>
                        <w:right w:val="none" w:sz="0" w:space="0" w:color="auto"/>
                      </w:divBdr>
                      <w:divsChild>
                        <w:div w:id="521748941">
                          <w:marLeft w:val="0"/>
                          <w:marRight w:val="0"/>
                          <w:marTop w:val="0"/>
                          <w:marBottom w:val="0"/>
                          <w:divBdr>
                            <w:top w:val="none" w:sz="0" w:space="0" w:color="auto"/>
                            <w:left w:val="none" w:sz="0" w:space="0" w:color="auto"/>
                            <w:bottom w:val="none" w:sz="0" w:space="0" w:color="auto"/>
                            <w:right w:val="none" w:sz="0" w:space="0" w:color="auto"/>
                          </w:divBdr>
                          <w:divsChild>
                            <w:div w:id="4855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624757">
      <w:bodyDiv w:val="1"/>
      <w:marLeft w:val="0"/>
      <w:marRight w:val="0"/>
      <w:marTop w:val="0"/>
      <w:marBottom w:val="0"/>
      <w:divBdr>
        <w:top w:val="none" w:sz="0" w:space="0" w:color="auto"/>
        <w:left w:val="none" w:sz="0" w:space="0" w:color="auto"/>
        <w:bottom w:val="none" w:sz="0" w:space="0" w:color="auto"/>
        <w:right w:val="none" w:sz="0" w:space="0" w:color="auto"/>
      </w:divBdr>
      <w:divsChild>
        <w:div w:id="1970044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759">
              <w:marLeft w:val="0"/>
              <w:marRight w:val="0"/>
              <w:marTop w:val="0"/>
              <w:marBottom w:val="0"/>
              <w:divBdr>
                <w:top w:val="none" w:sz="0" w:space="0" w:color="auto"/>
                <w:left w:val="none" w:sz="0" w:space="0" w:color="auto"/>
                <w:bottom w:val="none" w:sz="0" w:space="0" w:color="auto"/>
                <w:right w:val="none" w:sz="0" w:space="0" w:color="auto"/>
              </w:divBdr>
              <w:divsChild>
                <w:div w:id="8536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Wright</dc:creator>
  <cp:keywords/>
  <dc:description/>
  <cp:lastModifiedBy>Cherry Wright</cp:lastModifiedBy>
  <cp:revision>8</cp:revision>
  <dcterms:created xsi:type="dcterms:W3CDTF">2022-04-13T22:18:00Z</dcterms:created>
  <dcterms:modified xsi:type="dcterms:W3CDTF">2022-05-16T14:44:00Z</dcterms:modified>
</cp:coreProperties>
</file>